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6D" w:rsidRDefault="000E3AC2">
      <w:pPr>
        <w:pStyle w:val="berschrift1"/>
      </w:pPr>
      <w:bookmarkStart w:id="0" w:name="_GoBack"/>
      <w:bookmarkEnd w:id="0"/>
      <w:r>
        <w:t>EU-DATENSCHUTZ-GRUNDVERORDNUNG (DSGVO)</w:t>
      </w:r>
    </w:p>
    <w:p w:rsidR="00017B6D" w:rsidRDefault="00017B6D">
      <w:pPr>
        <w:spacing w:after="0" w:line="240" w:lineRule="auto"/>
      </w:pPr>
    </w:p>
    <w:p w:rsidR="00017B6D" w:rsidRDefault="00017B6D">
      <w:pPr>
        <w:spacing w:after="0" w:line="300" w:lineRule="atLeast"/>
        <w:jc w:val="both"/>
        <w:rPr>
          <w:rFonts w:ascii="Arial" w:eastAsia="Calibri" w:hAnsi="Arial" w:cs="Arial"/>
          <w:b/>
          <w:sz w:val="21"/>
          <w:lang w:val="de-AT" w:eastAsia="en-US"/>
        </w:rPr>
      </w:pPr>
    </w:p>
    <w:p w:rsidR="00017B6D" w:rsidRDefault="000E3AC2">
      <w:pPr>
        <w:pStyle w:val="berschrift2"/>
      </w:pPr>
      <w:r>
        <w:t>Information bei der Datenerhebung (Art 13 f DSGVO)</w:t>
      </w:r>
    </w:p>
    <w:p w:rsidR="00017B6D" w:rsidRDefault="00017B6D">
      <w:pPr>
        <w:rPr>
          <w:lang w:val="de-AT" w:eastAsia="en-US"/>
        </w:rPr>
      </w:pPr>
    </w:p>
    <w:p w:rsidR="00017B6D" w:rsidRDefault="00017B6D">
      <w:pPr>
        <w:spacing w:after="0" w:line="300" w:lineRule="atLeast"/>
        <w:jc w:val="both"/>
        <w:rPr>
          <w:rFonts w:ascii="Arial" w:eastAsia="Calibri" w:hAnsi="Arial" w:cs="Arial"/>
          <w:sz w:val="21"/>
          <w:lang w:val="de-AT" w:eastAsia="en-US"/>
        </w:rPr>
      </w:pPr>
    </w:p>
    <w:p w:rsidR="00017B6D" w:rsidRDefault="000E3AC2">
      <w:pPr>
        <w:pStyle w:val="berschrift3"/>
        <w:rPr>
          <w:rFonts w:eastAsia="Calibri"/>
          <w:lang w:val="de-AT" w:eastAsia="en-US"/>
        </w:rPr>
      </w:pPr>
      <w:r>
        <w:rPr>
          <w:rFonts w:eastAsia="Calibri"/>
          <w:lang w:val="de-AT" w:eastAsia="en-US"/>
        </w:rPr>
        <w:t>Detaillierte Information zur konkreten Datenverarbeitung:</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numPr>
          <w:ilvl w:val="0"/>
          <w:numId w:val="6"/>
        </w:numPr>
        <w:spacing w:after="0" w:line="300" w:lineRule="atLeast"/>
        <w:rPr>
          <w:rFonts w:ascii="Arial" w:eastAsia="Calibri" w:hAnsi="Arial" w:cs="Arial"/>
          <w:sz w:val="21"/>
          <w:szCs w:val="21"/>
          <w:lang w:val="de-AT" w:eastAsia="en-US"/>
        </w:rPr>
      </w:pPr>
      <w:r>
        <w:rPr>
          <w:rFonts w:ascii="Arial" w:eastAsia="Calibri" w:hAnsi="Arial" w:cs="Arial"/>
          <w:sz w:val="21"/>
          <w:szCs w:val="21"/>
          <w:lang w:val="de-AT" w:eastAsia="en-US"/>
        </w:rPr>
        <w:t xml:space="preserve">Name und Kontaktdaten des </w:t>
      </w:r>
      <w:r>
        <w:rPr>
          <w:rFonts w:ascii="Arial" w:eastAsia="Calibri" w:hAnsi="Arial" w:cs="Arial"/>
          <w:sz w:val="21"/>
          <w:szCs w:val="21"/>
          <w:lang w:val="de-AT" w:eastAsia="en-US"/>
        </w:rPr>
        <w:t>Verantwortlichen</w:t>
      </w:r>
      <w:r>
        <w:rPr>
          <w:rFonts w:ascii="Arial" w:eastAsia="Calibri" w:hAnsi="Arial" w:cs="Arial"/>
          <w:sz w:val="21"/>
          <w:szCs w:val="21"/>
          <w:lang w:val="de-AT" w:eastAsia="en-US"/>
        </w:rPr>
        <w:br/>
      </w:r>
    </w:p>
    <w:p w:rsidR="00017B6D" w:rsidRDefault="000E3AC2">
      <w:p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Mag. Anja Hofbauer</w:t>
      </w:r>
    </w:p>
    <w:p w:rsidR="00017B6D" w:rsidRDefault="000E3AC2">
      <w:p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Ernst-Grein-Str. 15</w:t>
      </w:r>
    </w:p>
    <w:p w:rsidR="00017B6D" w:rsidRDefault="000E3AC2">
      <w:p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5026 Salzburg</w:t>
      </w:r>
    </w:p>
    <w:p w:rsidR="00017B6D" w:rsidRDefault="00017B6D">
      <w:pPr>
        <w:spacing w:after="0" w:line="300" w:lineRule="atLeast"/>
        <w:ind w:left="1134"/>
        <w:jc w:val="both"/>
        <w:rPr>
          <w:rFonts w:ascii="Arial" w:eastAsia="Calibri" w:hAnsi="Arial" w:cs="Arial"/>
          <w:sz w:val="21"/>
          <w:szCs w:val="21"/>
          <w:lang w:val="de-AT" w:eastAsia="en-US"/>
        </w:rPr>
      </w:pPr>
    </w:p>
    <w:p w:rsidR="00017B6D" w:rsidRDefault="000E3AC2">
      <w:p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Tel: 0662646548</w:t>
      </w:r>
    </w:p>
    <w:p w:rsidR="00017B6D" w:rsidRDefault="000E3AC2">
      <w:p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Mobil: 0676-9732873</w:t>
      </w:r>
    </w:p>
    <w:p w:rsidR="00017B6D" w:rsidRDefault="000E3AC2">
      <w:p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Mail: anja.hofbauer@aon.at</w:t>
      </w:r>
    </w:p>
    <w:p w:rsidR="00017B6D" w:rsidRDefault="00017B6D">
      <w:pPr>
        <w:spacing w:after="0" w:line="300" w:lineRule="atLeast"/>
        <w:ind w:left="1134"/>
        <w:jc w:val="both"/>
        <w:rPr>
          <w:rFonts w:ascii="Arial" w:eastAsia="Calibri" w:hAnsi="Arial" w:cs="Arial"/>
          <w:sz w:val="21"/>
          <w:szCs w:val="21"/>
          <w:lang w:val="de-AT" w:eastAsia="en-US"/>
        </w:rPr>
      </w:pPr>
    </w:p>
    <w:p w:rsidR="00017B6D" w:rsidRDefault="00017B6D">
      <w:pPr>
        <w:spacing w:after="0" w:line="300" w:lineRule="atLeast"/>
        <w:jc w:val="both"/>
        <w:rPr>
          <w:rFonts w:ascii="Arial" w:eastAsia="Calibri" w:hAnsi="Arial" w:cs="Arial"/>
          <w:sz w:val="21"/>
          <w:szCs w:val="21"/>
          <w:shd w:val="clear" w:color="auto" w:fill="FFFF00"/>
          <w:lang w:val="de-AT" w:eastAsia="en-US"/>
        </w:rPr>
      </w:pPr>
    </w:p>
    <w:p w:rsidR="00017B6D" w:rsidRDefault="000E3AC2">
      <w:pPr>
        <w:numPr>
          <w:ilvl w:val="0"/>
          <w:numId w:val="3"/>
        </w:num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Zweck der Datenverarbeitung</w:t>
      </w:r>
    </w:p>
    <w:p w:rsidR="00017B6D" w:rsidRDefault="00017B6D">
      <w:pPr>
        <w:spacing w:after="0" w:line="300" w:lineRule="atLeast"/>
        <w:ind w:left="720"/>
        <w:jc w:val="both"/>
        <w:rPr>
          <w:rFonts w:ascii="Arial" w:eastAsia="Calibri" w:hAnsi="Arial" w:cs="Arial"/>
          <w:sz w:val="21"/>
          <w:szCs w:val="21"/>
          <w:lang w:val="de-AT" w:eastAsia="en-US"/>
        </w:rPr>
      </w:pPr>
    </w:p>
    <w:tbl>
      <w:tblPr>
        <w:tblW w:w="9107" w:type="dxa"/>
        <w:tblInd w:w="-167" w:type="dxa"/>
        <w:tblLayout w:type="fixed"/>
        <w:tblCellMar>
          <w:left w:w="10" w:type="dxa"/>
          <w:right w:w="10" w:type="dxa"/>
        </w:tblCellMar>
        <w:tblLook w:val="0000" w:firstRow="0" w:lastRow="0" w:firstColumn="0" w:lastColumn="0" w:noHBand="0" w:noVBand="0"/>
      </w:tblPr>
      <w:tblGrid>
        <w:gridCol w:w="750"/>
        <w:gridCol w:w="2929"/>
        <w:gridCol w:w="5428"/>
      </w:tblGrid>
      <w:tr w:rsidR="00017B6D">
        <w:tblPrEx>
          <w:tblCellMar>
            <w:top w:w="0" w:type="dxa"/>
            <w:bottom w:w="0" w:type="dxa"/>
          </w:tblCellMar>
        </w:tblPrEx>
        <w:tc>
          <w:tcPr>
            <w:tcW w:w="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rPr>
                <w:b/>
              </w:rPr>
            </w:pPr>
            <w:r>
              <w:rPr>
                <w:b/>
              </w:rPr>
              <w:t>Nr.</w:t>
            </w:r>
          </w:p>
        </w:tc>
        <w:tc>
          <w:tcPr>
            <w:tcW w:w="2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rPr>
                <w:b/>
              </w:rPr>
            </w:pPr>
            <w:r>
              <w:rPr>
                <w:b/>
              </w:rPr>
              <w:t>Zweck</w:t>
            </w:r>
          </w:p>
        </w:tc>
        <w:tc>
          <w:tcPr>
            <w:tcW w:w="54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rPr>
                <w:b/>
              </w:rPr>
            </w:pPr>
            <w:r>
              <w:rPr>
                <w:b/>
              </w:rPr>
              <w:t>Beschreibung</w:t>
            </w:r>
          </w:p>
        </w:tc>
      </w:tr>
      <w:tr w:rsidR="00017B6D">
        <w:tblPrEx>
          <w:tblCellMar>
            <w:top w:w="0" w:type="dxa"/>
            <w:bottom w:w="0" w:type="dxa"/>
          </w:tblCellMar>
        </w:tblPrEx>
        <w:tc>
          <w:tcPr>
            <w:tcW w:w="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VT01</w:t>
            </w:r>
          </w:p>
        </w:tc>
        <w:tc>
          <w:tcPr>
            <w:tcW w:w="2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 xml:space="preserve">Patienten(besitzer)verwaltung und Honorarabrechnung des </w:t>
            </w:r>
            <w:r>
              <w:t>Tierarztes</w:t>
            </w:r>
          </w:p>
        </w:tc>
        <w:tc>
          <w:tcPr>
            <w:tcW w:w="54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Führung von Patienten(besitzer)karteien, auch zur Dokumentation der Behandlung iwS, insb gemäß § 24 Abs 3 TierärzteG (TGD); Erstellung von medizinischen Gutachten und deren Aufbewahrung (§ 19 Abs 2 TierärzteG) und Honorarverrechnung durch Tierär</w:t>
            </w:r>
            <w:r>
              <w:t>zte, einschließlich automationsunterstützt erstellter und archivierter Textdokumente (wie zB Korrespondenz) in diesen Angelegenheiten.</w:t>
            </w:r>
          </w:p>
        </w:tc>
      </w:tr>
      <w:tr w:rsidR="00017B6D">
        <w:tblPrEx>
          <w:tblCellMar>
            <w:top w:w="0" w:type="dxa"/>
            <w:bottom w:w="0" w:type="dxa"/>
          </w:tblCellMar>
        </w:tblPrEx>
        <w:tc>
          <w:tcPr>
            <w:tcW w:w="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VT02</w:t>
            </w:r>
          </w:p>
        </w:tc>
        <w:tc>
          <w:tcPr>
            <w:tcW w:w="2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Bewerber- und Personalverwaltung, strahlenexponierte Personen</w:t>
            </w:r>
          </w:p>
        </w:tc>
        <w:tc>
          <w:tcPr>
            <w:tcW w:w="54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 xml:space="preserve">Bewerber-, Praktikanten- und Personalverwaltung bei </w:t>
            </w:r>
            <w:r>
              <w:t>Tierärzten (HR)</w:t>
            </w:r>
          </w:p>
        </w:tc>
      </w:tr>
      <w:tr w:rsidR="00017B6D">
        <w:tblPrEx>
          <w:tblCellMar>
            <w:top w:w="0" w:type="dxa"/>
            <w:bottom w:w="0" w:type="dxa"/>
          </w:tblCellMar>
        </w:tblPrEx>
        <w:tc>
          <w:tcPr>
            <w:tcW w:w="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VT03</w:t>
            </w:r>
          </w:p>
        </w:tc>
        <w:tc>
          <w:tcPr>
            <w:tcW w:w="2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Rechnungswesen (Finanzbuchhaltung)</w:t>
            </w:r>
          </w:p>
        </w:tc>
        <w:tc>
          <w:tcPr>
            <w:tcW w:w="54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Verarbeitung und Übermittlung von Daten im Rahmen von Geschäftsbeziehungen mit Kunden und Lieferanten, einschließlich automationsunterstützt erstellter und archivierter Textdokumente (wie zB Korrespo</w:t>
            </w:r>
            <w:r>
              <w:t>ndenzen oder Verträge) in diesen Angelegenheiten</w:t>
            </w:r>
          </w:p>
        </w:tc>
      </w:tr>
      <w:tr w:rsidR="00017B6D">
        <w:tblPrEx>
          <w:tblCellMar>
            <w:top w:w="0" w:type="dxa"/>
            <w:bottom w:w="0" w:type="dxa"/>
          </w:tblCellMar>
        </w:tblPrEx>
        <w:tc>
          <w:tcPr>
            <w:tcW w:w="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VT04</w:t>
            </w:r>
          </w:p>
        </w:tc>
        <w:tc>
          <w:tcPr>
            <w:tcW w:w="2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Marketing</w:t>
            </w:r>
          </w:p>
        </w:tc>
        <w:tc>
          <w:tcPr>
            <w:tcW w:w="54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Geschäftsanbahnung für Interessenten und Kunden</w:t>
            </w:r>
          </w:p>
        </w:tc>
      </w:tr>
      <w:tr w:rsidR="00017B6D">
        <w:tblPrEx>
          <w:tblCellMar>
            <w:top w:w="0" w:type="dxa"/>
            <w:bottom w:w="0" w:type="dxa"/>
          </w:tblCellMar>
        </w:tblPrEx>
        <w:tc>
          <w:tcPr>
            <w:tcW w:w="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17B6D">
            <w:pPr>
              <w:spacing w:after="0" w:line="240" w:lineRule="auto"/>
            </w:pPr>
          </w:p>
        </w:tc>
        <w:tc>
          <w:tcPr>
            <w:tcW w:w="2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17B6D">
            <w:pPr>
              <w:spacing w:after="0" w:line="240" w:lineRule="auto"/>
            </w:pPr>
          </w:p>
        </w:tc>
        <w:tc>
          <w:tcPr>
            <w:tcW w:w="54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17B6D">
            <w:pPr>
              <w:spacing w:after="0" w:line="240" w:lineRule="auto"/>
            </w:pPr>
          </w:p>
        </w:tc>
      </w:tr>
    </w:tbl>
    <w:p w:rsidR="00017B6D" w:rsidRDefault="00017B6D">
      <w:pPr>
        <w:spacing w:after="0" w:line="300" w:lineRule="atLeast"/>
        <w:ind w:left="1134"/>
        <w:jc w:val="both"/>
        <w:rPr>
          <w:rFonts w:ascii="Arial" w:eastAsia="Calibri" w:hAnsi="Arial" w:cs="Arial"/>
          <w:sz w:val="21"/>
          <w:szCs w:val="21"/>
          <w:lang w:val="de-AT" w:eastAsia="en-US"/>
        </w:rPr>
      </w:pPr>
    </w:p>
    <w:p w:rsidR="00017B6D" w:rsidRDefault="00017B6D">
      <w:pPr>
        <w:spacing w:after="0" w:line="300" w:lineRule="atLeast"/>
        <w:ind w:left="1134"/>
        <w:jc w:val="both"/>
        <w:rPr>
          <w:rFonts w:ascii="Arial" w:eastAsia="Calibri" w:hAnsi="Arial" w:cs="Arial"/>
          <w:sz w:val="21"/>
          <w:szCs w:val="21"/>
          <w:lang w:val="de-AT" w:eastAsia="en-US"/>
        </w:rPr>
      </w:pPr>
    </w:p>
    <w:p w:rsidR="00017B6D" w:rsidRDefault="00017B6D">
      <w:pPr>
        <w:spacing w:after="0" w:line="300" w:lineRule="atLeast"/>
        <w:ind w:left="1134"/>
        <w:jc w:val="both"/>
        <w:rPr>
          <w:rFonts w:ascii="Arial" w:eastAsia="Calibri" w:hAnsi="Arial" w:cs="Arial"/>
          <w:sz w:val="21"/>
          <w:szCs w:val="21"/>
          <w:lang w:val="de-AT" w:eastAsia="en-US"/>
        </w:rPr>
      </w:pPr>
    </w:p>
    <w:p w:rsidR="00017B6D" w:rsidRDefault="00017B6D">
      <w:pPr>
        <w:spacing w:after="0" w:line="300" w:lineRule="atLeast"/>
        <w:ind w:left="1134"/>
        <w:jc w:val="both"/>
        <w:rPr>
          <w:rFonts w:ascii="Arial" w:eastAsia="Calibri" w:hAnsi="Arial" w:cs="Arial"/>
          <w:sz w:val="21"/>
          <w:szCs w:val="21"/>
          <w:lang w:val="de-AT" w:eastAsia="en-US"/>
        </w:rPr>
      </w:pPr>
    </w:p>
    <w:p w:rsidR="00017B6D" w:rsidRDefault="000E3AC2">
      <w:pPr>
        <w:numPr>
          <w:ilvl w:val="0"/>
          <w:numId w:val="3"/>
        </w:num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lastRenderedPageBreak/>
        <w:t>Rechtsgrundlage der Datenverarbeitung</w:t>
      </w:r>
    </w:p>
    <w:p w:rsidR="00017B6D" w:rsidRDefault="00017B6D">
      <w:pPr>
        <w:spacing w:after="0" w:line="300" w:lineRule="atLeast"/>
        <w:ind w:left="720"/>
        <w:jc w:val="both"/>
        <w:rPr>
          <w:rFonts w:ascii="Arial" w:eastAsia="Calibri" w:hAnsi="Arial" w:cs="Arial"/>
          <w:sz w:val="21"/>
          <w:szCs w:val="21"/>
          <w:lang w:val="de-AT" w:eastAsia="en-US"/>
        </w:rPr>
      </w:pPr>
    </w:p>
    <w:p w:rsidR="00017B6D" w:rsidRDefault="000E3AC2">
      <w:pPr>
        <w:numPr>
          <w:ilvl w:val="0"/>
          <w:numId w:val="7"/>
        </w:num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Art 6 Abs 1lit a</w:t>
      </w:r>
    </w:p>
    <w:p w:rsidR="00017B6D" w:rsidRDefault="000E3AC2">
      <w:pPr>
        <w:numPr>
          <w:ilvl w:val="0"/>
          <w:numId w:val="7"/>
        </w:num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Art 6 Abs 1 lit b</w:t>
      </w:r>
    </w:p>
    <w:p w:rsidR="00017B6D" w:rsidRDefault="000E3AC2">
      <w:pPr>
        <w:numPr>
          <w:ilvl w:val="0"/>
          <w:numId w:val="7"/>
        </w:num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Art 6 Abs1 lit c</w:t>
      </w:r>
    </w:p>
    <w:p w:rsidR="00017B6D" w:rsidRDefault="000E3AC2">
      <w:pPr>
        <w:numPr>
          <w:ilvl w:val="0"/>
          <w:numId w:val="7"/>
        </w:num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Art 6 Abs 1lit f</w:t>
      </w:r>
    </w:p>
    <w:p w:rsidR="00017B6D" w:rsidRDefault="000E3AC2">
      <w:pPr>
        <w:numPr>
          <w:ilvl w:val="0"/>
          <w:numId w:val="7"/>
        </w:num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 132 BAO</w:t>
      </w:r>
    </w:p>
    <w:p w:rsidR="00017B6D" w:rsidRDefault="000E3AC2">
      <w:pPr>
        <w:numPr>
          <w:ilvl w:val="0"/>
          <w:numId w:val="7"/>
        </w:numPr>
        <w:spacing w:after="0" w:line="300" w:lineRule="atLeast"/>
        <w:ind w:left="1134"/>
        <w:jc w:val="both"/>
        <w:rPr>
          <w:rFonts w:ascii="Arial" w:eastAsia="Calibri" w:hAnsi="Arial" w:cs="Arial"/>
          <w:sz w:val="21"/>
          <w:szCs w:val="21"/>
          <w:lang w:val="de-AT" w:eastAsia="en-US"/>
        </w:rPr>
      </w:pPr>
      <w:r>
        <w:rPr>
          <w:rFonts w:ascii="Arial" w:eastAsia="Calibri" w:hAnsi="Arial" w:cs="Arial"/>
          <w:sz w:val="21"/>
          <w:szCs w:val="21"/>
          <w:lang w:val="de-AT" w:eastAsia="en-US"/>
        </w:rPr>
        <w:t>§§190, 212 UGB</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numPr>
          <w:ilvl w:val="0"/>
          <w:numId w:val="8"/>
        </w:num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Allfällige Empfänger bzw. Auftragsverarbeiter etc.</w:t>
      </w:r>
    </w:p>
    <w:p w:rsidR="00017B6D" w:rsidRDefault="00017B6D">
      <w:pPr>
        <w:spacing w:after="0" w:line="300" w:lineRule="atLeast"/>
        <w:ind w:left="720"/>
        <w:jc w:val="both"/>
        <w:rPr>
          <w:rFonts w:ascii="Arial" w:eastAsia="Calibri" w:hAnsi="Arial" w:cs="Arial"/>
          <w:sz w:val="21"/>
          <w:szCs w:val="21"/>
          <w:lang w:val="de-AT" w:eastAsia="en-US"/>
        </w:rPr>
      </w:pPr>
    </w:p>
    <w:p w:rsidR="00017B6D" w:rsidRDefault="00017B6D">
      <w:pPr>
        <w:spacing w:after="0" w:line="300" w:lineRule="atLeast"/>
        <w:ind w:left="1134"/>
        <w:rPr>
          <w:rFonts w:ascii="Arial" w:eastAsia="Calibri" w:hAnsi="Arial" w:cs="Arial"/>
          <w:sz w:val="21"/>
          <w:szCs w:val="21"/>
          <w:lang w:val="de-AT" w:eastAsia="en-US"/>
        </w:rPr>
      </w:pPr>
    </w:p>
    <w:tbl>
      <w:tblPr>
        <w:tblW w:w="9062" w:type="dxa"/>
        <w:tblInd w:w="-108" w:type="dxa"/>
        <w:tblLayout w:type="fixed"/>
        <w:tblCellMar>
          <w:left w:w="10" w:type="dxa"/>
          <w:right w:w="10" w:type="dxa"/>
        </w:tblCellMar>
        <w:tblLook w:val="0000" w:firstRow="0" w:lastRow="0" w:firstColumn="0" w:lastColumn="0" w:noHBand="0" w:noVBand="0"/>
      </w:tblPr>
      <w:tblGrid>
        <w:gridCol w:w="703"/>
        <w:gridCol w:w="8359"/>
      </w:tblGrid>
      <w:tr w:rsidR="00017B6D">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rPr>
                <w:b/>
              </w:rPr>
            </w:pPr>
            <w:r>
              <w:rPr>
                <w:b/>
              </w:rPr>
              <w:t>Nr.</w:t>
            </w:r>
          </w:p>
        </w:tc>
        <w:tc>
          <w:tcPr>
            <w:tcW w:w="83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rPr>
                <w:b/>
              </w:rPr>
            </w:pPr>
            <w:r>
              <w:rPr>
                <w:b/>
              </w:rPr>
              <w:t>Empfänger</w:t>
            </w:r>
          </w:p>
        </w:tc>
      </w:tr>
      <w:tr w:rsidR="00017B6D">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E01</w:t>
            </w:r>
          </w:p>
        </w:tc>
        <w:tc>
          <w:tcPr>
            <w:tcW w:w="83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Privatversicherungen zum Zweck der Abwicklung des Versicherungsanspruches</w:t>
            </w:r>
          </w:p>
        </w:tc>
      </w:tr>
      <w:tr w:rsidR="00017B6D">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E02</w:t>
            </w:r>
          </w:p>
        </w:tc>
        <w:tc>
          <w:tcPr>
            <w:tcW w:w="83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Andere Tierärzte sowie Apotheken</w:t>
            </w:r>
          </w:p>
        </w:tc>
      </w:tr>
      <w:tr w:rsidR="00017B6D">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E03</w:t>
            </w:r>
          </w:p>
        </w:tc>
        <w:tc>
          <w:tcPr>
            <w:tcW w:w="83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 xml:space="preserve">Labors und andere Einrichtungen, die im Auftrag des Tierarztes </w:t>
            </w:r>
            <w:r>
              <w:t>Untersuchungen vornehmen</w:t>
            </w:r>
          </w:p>
        </w:tc>
      </w:tr>
      <w:tr w:rsidR="00017B6D">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E04</w:t>
            </w:r>
          </w:p>
        </w:tc>
        <w:tc>
          <w:tcPr>
            <w:tcW w:w="83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Auftraggeber von medizinischen Gutachten, soweit die rechtlichen Voraussetzungen für die Erstellung des Gutachtens vorliegen</w:t>
            </w:r>
          </w:p>
        </w:tc>
      </w:tr>
      <w:tr w:rsidR="00017B6D">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E05</w:t>
            </w:r>
          </w:p>
        </w:tc>
        <w:tc>
          <w:tcPr>
            <w:tcW w:w="83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Zuständige Behörde</w:t>
            </w:r>
          </w:p>
        </w:tc>
      </w:tr>
      <w:tr w:rsidR="00017B6D">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E06</w:t>
            </w:r>
          </w:p>
        </w:tc>
        <w:tc>
          <w:tcPr>
            <w:tcW w:w="83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Strahlenschutzrechtliche Bewilligungsbehörde, wenn keine Meldepflicht de</w:t>
            </w:r>
            <w:r>
              <w:t>s Arztes vorliegt (zB gemäß § 36 Abs. 4 AllgStrSchV)</w:t>
            </w:r>
          </w:p>
        </w:tc>
      </w:tr>
      <w:tr w:rsidR="00017B6D">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E3AC2">
            <w:pPr>
              <w:spacing w:after="0" w:line="240" w:lineRule="auto"/>
            </w:pPr>
            <w:r>
              <w:t>E07</w:t>
            </w:r>
          </w:p>
        </w:tc>
        <w:tc>
          <w:tcPr>
            <w:tcW w:w="83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17B6D" w:rsidRDefault="00017B6D">
            <w:pPr>
              <w:spacing w:after="0" w:line="240" w:lineRule="auto"/>
            </w:pPr>
          </w:p>
        </w:tc>
      </w:tr>
    </w:tbl>
    <w:p w:rsidR="00017B6D" w:rsidRDefault="000E3AC2">
      <w:pPr>
        <w:spacing w:after="0" w:line="300" w:lineRule="atLeast"/>
      </w:pPr>
      <w:r>
        <w:rPr>
          <w:rFonts w:ascii="Arial" w:eastAsia="Calibri" w:hAnsi="Arial" w:cs="Arial"/>
          <w:sz w:val="21"/>
          <w:szCs w:val="21"/>
          <w:lang w:val="de-AT" w:eastAsia="en-US"/>
        </w:rPr>
        <w:br/>
      </w:r>
    </w:p>
    <w:p w:rsidR="00017B6D" w:rsidRDefault="00017B6D">
      <w:pPr>
        <w:spacing w:after="0" w:line="300" w:lineRule="atLeast"/>
        <w:jc w:val="both"/>
        <w:rPr>
          <w:rFonts w:ascii="Arial" w:eastAsia="Calibri" w:hAnsi="Arial" w:cs="Arial"/>
          <w:sz w:val="21"/>
          <w:szCs w:val="21"/>
          <w:shd w:val="clear" w:color="auto" w:fill="FFFF00"/>
          <w:lang w:val="de-AT" w:eastAsia="en-US"/>
        </w:rPr>
      </w:pPr>
    </w:p>
    <w:p w:rsidR="00017B6D" w:rsidRDefault="000E3AC2">
      <w:pPr>
        <w:numPr>
          <w:ilvl w:val="0"/>
          <w:numId w:val="3"/>
        </w:num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Dauer der Verarbeitung</w:t>
      </w:r>
    </w:p>
    <w:p w:rsidR="00017B6D" w:rsidRDefault="00017B6D">
      <w:pPr>
        <w:spacing w:after="0" w:line="300" w:lineRule="atLeast"/>
        <w:ind w:left="720"/>
        <w:jc w:val="both"/>
        <w:rPr>
          <w:rFonts w:ascii="Arial" w:eastAsia="Calibri" w:hAnsi="Arial" w:cs="Arial"/>
          <w:sz w:val="21"/>
          <w:szCs w:val="21"/>
          <w:lang w:val="de-AT" w:eastAsia="en-US"/>
        </w:rPr>
      </w:pPr>
    </w:p>
    <w:p w:rsidR="00017B6D" w:rsidRDefault="000E3AC2">
      <w:r>
        <w:t xml:space="preserve">Bis zur Beendigung der Geschäftsbeziehung oder bis zum Ablauf der für den Auftraggeber geltenden Garantie-, Gewährleistungs-, Verjährungs- und gesetzlichen </w:t>
      </w:r>
      <w:r>
        <w:t>Aufbewahrungsfristen; darüber hinaus bis zur Beendigung von allfälligen Rechtsstreitigkeiten, bei denen die Daten als Beweis benötigt werden.</w:t>
      </w:r>
    </w:p>
    <w:p w:rsidR="00017B6D" w:rsidRDefault="00017B6D">
      <w:pPr>
        <w:spacing w:after="0" w:line="300" w:lineRule="atLeast"/>
        <w:ind w:left="1134"/>
        <w:jc w:val="both"/>
        <w:rPr>
          <w:rFonts w:ascii="Arial" w:eastAsia="Calibri" w:hAnsi="Arial" w:cs="Arial"/>
          <w:sz w:val="21"/>
          <w:szCs w:val="21"/>
          <w:lang w:val="de-AT" w:eastAsia="en-US"/>
        </w:rPr>
      </w:pPr>
    </w:p>
    <w:p w:rsidR="00017B6D" w:rsidRDefault="00017B6D">
      <w:pPr>
        <w:spacing w:after="0" w:line="300" w:lineRule="atLeast"/>
        <w:ind w:left="720"/>
        <w:jc w:val="both"/>
        <w:rPr>
          <w:rFonts w:ascii="Arial" w:eastAsia="Calibri" w:hAnsi="Arial" w:cs="Arial"/>
          <w:sz w:val="21"/>
          <w:szCs w:val="21"/>
          <w:lang w:val="de-AT" w:eastAsia="en-US"/>
        </w:rPr>
      </w:pP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spacing w:after="0" w:line="300" w:lineRule="atLeast"/>
        <w:jc w:val="both"/>
      </w:pPr>
      <w:r>
        <w:rPr>
          <w:rFonts w:ascii="Arial" w:eastAsia="Calibri" w:hAnsi="Arial" w:cs="Arial"/>
          <w:sz w:val="21"/>
          <w:szCs w:val="21"/>
          <w:lang w:val="de-AT" w:eastAsia="en-US"/>
        </w:rPr>
        <w:t>Die Verarbeitung personenbezogener Daten durch den Verantwortlichen bzw. für ihn durch die hier genannten Auftr</w:t>
      </w:r>
      <w:r>
        <w:rPr>
          <w:rFonts w:ascii="Arial" w:eastAsia="Calibri" w:hAnsi="Arial" w:cs="Arial"/>
          <w:sz w:val="21"/>
          <w:szCs w:val="21"/>
          <w:lang w:val="de-AT" w:eastAsia="en-US"/>
        </w:rPr>
        <w:t>agsverarbeiter erfolgt ausschließlich innerhalb der Europäischen Union und unter Gewährleistung entsprechender Datensicherheit.</w:t>
      </w:r>
    </w:p>
    <w:p w:rsidR="00017B6D" w:rsidRDefault="00017B6D">
      <w:pPr>
        <w:spacing w:after="0" w:line="300" w:lineRule="atLeast"/>
        <w:jc w:val="both"/>
        <w:rPr>
          <w:rFonts w:ascii="Arial" w:eastAsia="Calibri" w:hAnsi="Arial" w:cs="Arial"/>
          <w:color w:val="000000"/>
          <w:sz w:val="21"/>
          <w:szCs w:val="21"/>
          <w:lang w:val="de-AT" w:eastAsia="en-US"/>
        </w:rPr>
      </w:pP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Der Verantwortliche wird die personenbezogenen Daten für keinen anderen Zweck weiterverarbeiten als den, für den die personenbe</w:t>
      </w:r>
      <w:r>
        <w:rPr>
          <w:rFonts w:ascii="Arial" w:eastAsia="Calibri" w:hAnsi="Arial" w:cs="Arial"/>
          <w:sz w:val="21"/>
          <w:szCs w:val="21"/>
          <w:lang w:val="de-AT" w:eastAsia="en-US"/>
        </w:rPr>
        <w:t>zogenen Daten erhoben wurden.</w:t>
      </w:r>
    </w:p>
    <w:p w:rsidR="00017B6D" w:rsidRDefault="00017B6D">
      <w:pPr>
        <w:spacing w:after="0" w:line="300" w:lineRule="atLeast"/>
        <w:jc w:val="both"/>
        <w:rPr>
          <w:rFonts w:ascii="Arial" w:eastAsia="Calibri" w:hAnsi="Arial" w:cs="Arial"/>
          <w:sz w:val="21"/>
          <w:szCs w:val="21"/>
          <w:lang w:val="de-AT" w:eastAsia="en-US"/>
        </w:rPr>
      </w:pPr>
    </w:p>
    <w:p w:rsidR="00017B6D" w:rsidRDefault="00017B6D">
      <w:pPr>
        <w:spacing w:after="0" w:line="240" w:lineRule="auto"/>
        <w:rPr>
          <w:rFonts w:ascii="Arial" w:eastAsia="Calibri" w:hAnsi="Arial" w:cs="Arial"/>
          <w:b/>
          <w:sz w:val="21"/>
          <w:lang w:val="de-AT" w:eastAsia="en-US"/>
        </w:rPr>
      </w:pPr>
    </w:p>
    <w:p w:rsidR="00017B6D" w:rsidRDefault="000E3AC2">
      <w:pPr>
        <w:pStyle w:val="berschrift3"/>
        <w:rPr>
          <w:rFonts w:eastAsia="Calibri"/>
          <w:lang w:val="de-AT" w:eastAsia="en-US"/>
        </w:rPr>
      </w:pPr>
      <w:r>
        <w:rPr>
          <w:rFonts w:eastAsia="Calibri"/>
          <w:lang w:val="de-AT" w:eastAsia="en-US"/>
        </w:rPr>
        <w:t>Information über die Betroffenenrechte</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pStyle w:val="berschrift4"/>
        <w:rPr>
          <w:rFonts w:eastAsia="Calibri"/>
          <w:lang w:val="de-AT" w:eastAsia="en-US"/>
        </w:rPr>
      </w:pPr>
      <w:r>
        <w:rPr>
          <w:rFonts w:eastAsia="Calibri"/>
          <w:lang w:val="de-AT" w:eastAsia="en-US"/>
        </w:rPr>
        <w:t>Recht auf Auskunft</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lastRenderedPageBreak/>
        <w:t xml:space="preserve">Jeder von der Datenverarbeitung Betroffene hat das Recht, vom VERANTWORTLICHEN eine Bestätigung darüber zu verlangen, ob sie betreffende personenbezogene Daten </w:t>
      </w:r>
      <w:r>
        <w:rPr>
          <w:rFonts w:ascii="Arial" w:eastAsia="Calibri" w:hAnsi="Arial" w:cs="Arial"/>
          <w:sz w:val="21"/>
          <w:szCs w:val="21"/>
          <w:lang w:val="de-AT" w:eastAsia="en-US"/>
        </w:rPr>
        <w:t>verarbeitet werden; ist dies der Fall, so hat die betroffene Person ein Recht auf Auskunft über diese personenbezogenen Daten (Kopie der personenbezogenen Daten, die Gegenstand der Verarbeitung sind) und auf folgende Informationen: (a) die Verarbeitungszwe</w:t>
      </w:r>
      <w:r>
        <w:rPr>
          <w:rFonts w:ascii="Arial" w:eastAsia="Calibri" w:hAnsi="Arial" w:cs="Arial"/>
          <w:sz w:val="21"/>
          <w:szCs w:val="21"/>
          <w:lang w:val="de-AT" w:eastAsia="en-US"/>
        </w:rPr>
        <w:t>cke; (b) die Kategorien personenbezogener Daten, die verarbeitet werden; (c) die Empfänger oder Kategorien von Empfängern, gegenüber denen die personenbezogenen Daten offengelegt worden sind oder noch offengelegt werden, insbesondere bei Empfängern in Drit</w:t>
      </w:r>
      <w:r>
        <w:rPr>
          <w:rFonts w:ascii="Arial" w:eastAsia="Calibri" w:hAnsi="Arial" w:cs="Arial"/>
          <w:sz w:val="21"/>
          <w:szCs w:val="21"/>
          <w:lang w:val="de-AT" w:eastAsia="en-US"/>
        </w:rPr>
        <w:t>tländern oder bei internationalen Organisationen; (d) falls möglich die geplante Dauer, für die die personenbezogenen Daten gespeichert werden, oder, falls dies nicht möglich ist, die Kriterien für die Festlegung dieser Dauer; (e) das Bestehen eines Rechts</w:t>
      </w:r>
      <w:r>
        <w:rPr>
          <w:rFonts w:ascii="Arial" w:eastAsia="Calibri" w:hAnsi="Arial" w:cs="Arial"/>
          <w:sz w:val="21"/>
          <w:szCs w:val="21"/>
          <w:lang w:val="de-AT" w:eastAsia="en-US"/>
        </w:rPr>
        <w:t xml:space="preserve"> auf Berichtigung oder Löschung der sie betreffenden personenbezogenen Daten oder auf Einschränkung der Verarbeitung durch den Verantwortlichen oder eines Widerspruchsrechts gegen diese Verarbeitung; (f) das Bestehen eines Beschwerderechts bei einer Aufsic</w:t>
      </w:r>
      <w:r>
        <w:rPr>
          <w:rFonts w:ascii="Arial" w:eastAsia="Calibri" w:hAnsi="Arial" w:cs="Arial"/>
          <w:sz w:val="21"/>
          <w:szCs w:val="21"/>
          <w:lang w:val="de-AT" w:eastAsia="en-US"/>
        </w:rPr>
        <w:t>htsbehörde; (g) wenn die personenbezogenen Daten nicht bei der betroffenen Person erhoben werden, alle verfügbaren Informationen über die Herkunft der Daten; (h) das (Nicht)Bestehen einer automatisierten Entscheidungsfindung einschließlich Profiling. Der V</w:t>
      </w:r>
      <w:r>
        <w:rPr>
          <w:rFonts w:ascii="Arial" w:eastAsia="Calibri" w:hAnsi="Arial" w:cs="Arial"/>
          <w:sz w:val="21"/>
          <w:szCs w:val="21"/>
          <w:lang w:val="de-AT" w:eastAsia="en-US"/>
        </w:rPr>
        <w:t>ERANTWORTLICHE stellt eine Kopie der personenbezogenen Daten, die Gegenstand der Verarbeitung sind, zur Verfügung. Für alle weiteren Kopien, die die betroffene Person beantragt, kann der VERANTWORTLICHE ein angemessenes Entgelt auf der Grundlage der Verwal</w:t>
      </w:r>
      <w:r>
        <w:rPr>
          <w:rFonts w:ascii="Arial" w:eastAsia="Calibri" w:hAnsi="Arial" w:cs="Arial"/>
          <w:sz w:val="21"/>
          <w:szCs w:val="21"/>
          <w:lang w:val="de-AT" w:eastAsia="en-US"/>
        </w:rPr>
        <w:t>tungskosten verlangen. Stellt die betroffene Person den Antrag elektronisch, so sind die Informationen in einem gängigen elektronischen Format zur Verfügung zu stellen, sofern sie nichts anderes angibt.</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pStyle w:val="berschrift4"/>
        <w:rPr>
          <w:rFonts w:eastAsia="Calibri"/>
          <w:lang w:val="de-AT" w:eastAsia="en-US"/>
        </w:rPr>
      </w:pPr>
      <w:r>
        <w:rPr>
          <w:rFonts w:eastAsia="Calibri"/>
          <w:lang w:val="de-AT" w:eastAsia="en-US"/>
        </w:rPr>
        <w:t>Recht auf Berichtigung und Löschung</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 xml:space="preserve">Die betroffene </w:t>
      </w:r>
      <w:r>
        <w:rPr>
          <w:rFonts w:ascii="Arial" w:eastAsia="Calibri" w:hAnsi="Arial" w:cs="Arial"/>
          <w:sz w:val="21"/>
          <w:szCs w:val="21"/>
          <w:lang w:val="de-AT" w:eastAsia="en-US"/>
        </w:rPr>
        <w:t>Person hat das Recht, vom VERANTWORTLICHEN unverzüglich die Berichtigung sie betreffender unrichtiger personenbezogener Daten zu verlangen. Unter Berücksichtigung der Zwecke der Verarbeitung hat die betroffene Person das Recht, die Vervollständigung unvoll</w:t>
      </w:r>
      <w:r>
        <w:rPr>
          <w:rFonts w:ascii="Arial" w:eastAsia="Calibri" w:hAnsi="Arial" w:cs="Arial"/>
          <w:sz w:val="21"/>
          <w:szCs w:val="21"/>
          <w:lang w:val="de-AT" w:eastAsia="en-US"/>
        </w:rPr>
        <w:t>ständiger personenbezogener Daten — auch mittels einer ergänzenden Erklärung — zu verlangen.</w:t>
      </w: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Weiters hat die betroffene Person hat das Recht, vom VERANTWORTLICHEN zu verlangen, dass sie betreffende personenbezogene Daten unverzüglich gelöscht werden, und d</w:t>
      </w:r>
      <w:r>
        <w:rPr>
          <w:rFonts w:ascii="Arial" w:eastAsia="Calibri" w:hAnsi="Arial" w:cs="Arial"/>
          <w:sz w:val="21"/>
          <w:szCs w:val="21"/>
          <w:lang w:val="de-AT" w:eastAsia="en-US"/>
        </w:rPr>
        <w:t>er VERANTWORTLICHE ist verpflichtet, personenbezogene Daten unverzüglich zu löschen, sofern einer der folgenden Gründe zutrifft: (a) Die personenbezogenen Daten sind für die Zwecke, für die sie erhoben oder auf sonstige Weise verarbeitet wurden, nicht mehr</w:t>
      </w:r>
      <w:r>
        <w:rPr>
          <w:rFonts w:ascii="Arial" w:eastAsia="Calibri" w:hAnsi="Arial" w:cs="Arial"/>
          <w:sz w:val="21"/>
          <w:szCs w:val="21"/>
          <w:lang w:val="de-AT" w:eastAsia="en-US"/>
        </w:rPr>
        <w:t xml:space="preserve"> notwendig. (b) die betroffene Person widerruft ihre Einwilligung, auf die sich die Verarbeitung stützte, und es fehlt an einer anderweitigen Rechtsgrundlage für die Verarbeitung. (c) Die betroffene Person legt Widerspruch (siehe gleich unten) gegen die Ve</w:t>
      </w:r>
      <w:r>
        <w:rPr>
          <w:rFonts w:ascii="Arial" w:eastAsia="Calibri" w:hAnsi="Arial" w:cs="Arial"/>
          <w:sz w:val="21"/>
          <w:szCs w:val="21"/>
          <w:lang w:val="de-AT" w:eastAsia="en-US"/>
        </w:rPr>
        <w:t>rarbeitung ein. (d) Die personenbezogenen Daten wurden unrechtmäßig verarbeitet. (e) Die Löschung der personenbezogenen Daten ist zur Erfüllung einer rechtlichen Verpflichtung erforderlich, der der VERANTWORTLICHE unterliegt. (f) Die personenbezogenen Date</w:t>
      </w:r>
      <w:r>
        <w:rPr>
          <w:rFonts w:ascii="Arial" w:eastAsia="Calibri" w:hAnsi="Arial" w:cs="Arial"/>
          <w:sz w:val="21"/>
          <w:szCs w:val="21"/>
          <w:lang w:val="de-AT" w:eastAsia="en-US"/>
        </w:rPr>
        <w:t>n wurden in Bezug auf angebotene Dienste der Informationsgesellschaft (Einwilligung eines Kindes) erhoben. Das Recht auf Löschung besteht insbesondere dann nicht, soweit die Verarbeitung zur Erfüllung einer rechtlichen Verpflichtung des VERANTWORTLICHEN, o</w:t>
      </w:r>
      <w:r>
        <w:rPr>
          <w:rFonts w:ascii="Arial" w:eastAsia="Calibri" w:hAnsi="Arial" w:cs="Arial"/>
          <w:sz w:val="21"/>
          <w:szCs w:val="21"/>
          <w:lang w:val="de-AT" w:eastAsia="en-US"/>
        </w:rPr>
        <w:t xml:space="preserve">der zur Wahrnehmung einer Aufgabe, die im öffentlichen Interesse liegt oder in Ausübung öffentlicher Gewalt erfolgt, die dem VERANTWORTLICHEN übertragen wurde, erforderlich ist und/ oder zur Geltendmachung, Ausübung oder Verteidigung von Rechtsansprüchen. </w:t>
      </w:r>
      <w:r>
        <w:rPr>
          <w:rFonts w:ascii="Arial" w:eastAsia="Calibri" w:hAnsi="Arial" w:cs="Arial"/>
          <w:sz w:val="21"/>
          <w:szCs w:val="21"/>
          <w:lang w:val="de-AT" w:eastAsia="en-US"/>
        </w:rPr>
        <w:t>Kann die Berichtigung oder Löschung von automationsunterstützt verarbeiteten personenbezogenen Daten nicht unverzüglich erfolgen, weil diese aus wirtschaftlichen oder technischen Gründe nur zu bestimmten Zeitpunkten vorgenommen werden kann, so wird die Ver</w:t>
      </w:r>
      <w:r>
        <w:rPr>
          <w:rFonts w:ascii="Arial" w:eastAsia="Calibri" w:hAnsi="Arial" w:cs="Arial"/>
          <w:sz w:val="21"/>
          <w:szCs w:val="21"/>
          <w:lang w:val="de-AT" w:eastAsia="en-US"/>
        </w:rPr>
        <w:t>arbeitung der betreffenden personenbezogenen Daten bis zu diesem Zeitpunkt eingeschränkt (siehe unten – Recht auf Einschränkung der Verarbeitung).</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pStyle w:val="berschrift4"/>
        <w:rPr>
          <w:rFonts w:eastAsia="Calibri"/>
          <w:lang w:val="de-AT" w:eastAsia="en-US"/>
        </w:rPr>
      </w:pPr>
      <w:r>
        <w:rPr>
          <w:rFonts w:eastAsia="Calibri"/>
          <w:lang w:val="de-AT" w:eastAsia="en-US"/>
        </w:rPr>
        <w:t>Recht auf Einschränkung der Verarbeitung</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Die betroffene Person hat das Recht, vom VERANTWORTLICHEN die Eins</w:t>
      </w:r>
      <w:r>
        <w:rPr>
          <w:rFonts w:ascii="Arial" w:eastAsia="Calibri" w:hAnsi="Arial" w:cs="Arial"/>
          <w:sz w:val="21"/>
          <w:szCs w:val="21"/>
          <w:lang w:val="de-AT" w:eastAsia="en-US"/>
        </w:rPr>
        <w:t>chränkung der Verarbeitung zu verlangen, wenn eine der folgenden Voraussetzungen gegeben ist: (a) die Richtigkeit der personenbezogenen Daten von der betroffenen Person bestritten wird, und zwar für eine Dauer, die es dem VERANTWORTLICHEN ermöglicht, die R</w:t>
      </w:r>
      <w:r>
        <w:rPr>
          <w:rFonts w:ascii="Arial" w:eastAsia="Calibri" w:hAnsi="Arial" w:cs="Arial"/>
          <w:sz w:val="21"/>
          <w:szCs w:val="21"/>
          <w:lang w:val="de-AT" w:eastAsia="en-US"/>
        </w:rPr>
        <w:t>ichtigkeit der personenbezogenen Daten zu überprüfen, (b) die Verarbeitung unrechtmäßig ist und die betroffene Person die Löschung der personenbezogenen Daten ablehnt und stattdessen die Einschränkung der Nutzung der personenbezogenen Daten verlangt; (c) d</w:t>
      </w:r>
      <w:r>
        <w:rPr>
          <w:rFonts w:ascii="Arial" w:eastAsia="Calibri" w:hAnsi="Arial" w:cs="Arial"/>
          <w:sz w:val="21"/>
          <w:szCs w:val="21"/>
          <w:lang w:val="de-AT" w:eastAsia="en-US"/>
        </w:rPr>
        <w:t>en VERANTWORTLICHEN die personenbezogenen Daten für die Zwecke der Verarbeitung nicht länger benötigt, die betroffene Person sie jedoch zur Geltendmachung, Ausübung oder Verteidigung von Rechtsansprüchen benötigt, oder (d) die betroffene Person Widerspruch</w:t>
      </w:r>
      <w:r>
        <w:rPr>
          <w:rFonts w:ascii="Arial" w:eastAsia="Calibri" w:hAnsi="Arial" w:cs="Arial"/>
          <w:sz w:val="21"/>
          <w:szCs w:val="21"/>
          <w:lang w:val="de-AT" w:eastAsia="en-US"/>
        </w:rPr>
        <w:t xml:space="preserve"> gegen die Verarbeitung eingelegt hat, solange noch nicht feststeht, ob die berechtigten Gründe des VERANTWORTLICHEN gegenüber denen der betroffenen Person überwiegen.</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Wurde die Verarbeitung eingeschränkt, so dürfen diese personenbezogenen Daten — von ihr</w:t>
      </w:r>
      <w:r>
        <w:rPr>
          <w:rFonts w:ascii="Arial" w:eastAsia="Calibri" w:hAnsi="Arial" w:cs="Arial"/>
          <w:sz w:val="21"/>
          <w:szCs w:val="21"/>
          <w:lang w:val="de-AT" w:eastAsia="en-US"/>
        </w:rPr>
        <w:t>er Speicherung abgesehen — nur mit Einwilligung der betroffenen Person oder zur Geltendmachung, Ausübung oder Verteidigung von Rechtsansprüchen oder zum Schutz der Rechte einer anderen natürlichen oder juristischen Person oder aus Gründen eines wichtigen ö</w:t>
      </w:r>
      <w:r>
        <w:rPr>
          <w:rFonts w:ascii="Arial" w:eastAsia="Calibri" w:hAnsi="Arial" w:cs="Arial"/>
          <w:sz w:val="21"/>
          <w:szCs w:val="21"/>
          <w:lang w:val="de-AT" w:eastAsia="en-US"/>
        </w:rPr>
        <w:t>ffentlichen Interesses der Union oder eines Mitgliedstaats verarbeitet werden.</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Eine betroffene Person, die eine Einschränkung der Verarbeitung erwirkt hat, wird vom VERANTWORTLICHEN unterrichtet, bevor die Einschränkung aufgehoben wird.</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pStyle w:val="berschrift4"/>
        <w:rPr>
          <w:rFonts w:eastAsia="Calibri"/>
          <w:lang w:val="de-AT" w:eastAsia="en-US"/>
        </w:rPr>
      </w:pPr>
      <w:r>
        <w:rPr>
          <w:rFonts w:eastAsia="Calibri"/>
          <w:lang w:val="de-AT" w:eastAsia="en-US"/>
        </w:rPr>
        <w:t>Recht auf Datenüb</w:t>
      </w:r>
      <w:r>
        <w:rPr>
          <w:rFonts w:eastAsia="Calibri"/>
          <w:lang w:val="de-AT" w:eastAsia="en-US"/>
        </w:rPr>
        <w:t>ertragbarkeit</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Sofern die Verarbeitung auf einer Einwilligung oder auf einem Vertrag beruht und die Verarbeitung</w:t>
      </w: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mithilfe automatisierter Verfahren erfolgt, hat die betroffene Person das Recht, die sie betreffenden personenbezogenen Daten, die sie dem VER</w:t>
      </w:r>
      <w:r>
        <w:rPr>
          <w:rFonts w:ascii="Arial" w:eastAsia="Calibri" w:hAnsi="Arial" w:cs="Arial"/>
          <w:sz w:val="21"/>
          <w:szCs w:val="21"/>
          <w:lang w:val="de-AT" w:eastAsia="en-US"/>
        </w:rPr>
        <w:t>ANTWORTLICHEN bereitgestellt hat, in einem strukturierten, gängigen und maschinenlesbaren Format zu erhalten, und sie hat das Recht, diese Daten einem anderen Verantwortlichen zu übermitteln. Bei der Ausübung ihres Rechts auf Datenübertragbarkeit hat die b</w:t>
      </w:r>
      <w:r>
        <w:rPr>
          <w:rFonts w:ascii="Arial" w:eastAsia="Calibri" w:hAnsi="Arial" w:cs="Arial"/>
          <w:sz w:val="21"/>
          <w:szCs w:val="21"/>
          <w:lang w:val="de-AT" w:eastAsia="en-US"/>
        </w:rPr>
        <w:t>etroffene Person das Recht, zu erwirken, dass die personenbezogenen Daten direkt von einem Verantwortlichen einem anderen Verantwortlichen übermittelt werden, soweit dies technisch machbar ist.</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pStyle w:val="berschrift4"/>
        <w:rPr>
          <w:rFonts w:eastAsia="Calibri"/>
          <w:lang w:val="de-AT" w:eastAsia="en-US"/>
        </w:rPr>
      </w:pPr>
      <w:r>
        <w:rPr>
          <w:rFonts w:eastAsia="Calibri"/>
          <w:lang w:val="de-AT" w:eastAsia="en-US"/>
        </w:rPr>
        <w:t>Widerspruchsrecht</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 xml:space="preserve">Die betroffene Person hat das Recht, aus </w:t>
      </w:r>
      <w:r>
        <w:rPr>
          <w:rFonts w:ascii="Arial" w:eastAsia="Calibri" w:hAnsi="Arial" w:cs="Arial"/>
          <w:sz w:val="21"/>
          <w:szCs w:val="21"/>
          <w:lang w:val="de-AT" w:eastAsia="en-US"/>
        </w:rPr>
        <w:t>Gründen, die sich aus ihrer besonderen Situation ergeben, jederzeit gegen die Verarbeitung sie betreffender personenbezogener Daten, die für die Wahrnehmung einer Aufgabe erforderlich ist, die im öffentlichen Interesse liegt oder in Ausübung öffentlicher G</w:t>
      </w:r>
      <w:r>
        <w:rPr>
          <w:rFonts w:ascii="Arial" w:eastAsia="Calibri" w:hAnsi="Arial" w:cs="Arial"/>
          <w:sz w:val="21"/>
          <w:szCs w:val="21"/>
          <w:lang w:val="de-AT" w:eastAsia="en-US"/>
        </w:rPr>
        <w:t>ewalt erfolgt, die dem VERANTWORTLICHEN übertragen wurde, oder die zur Wahrung der berechtigten Interessen des VERANTWORTLICHEN oder eines Dritten erforderlich ist, erfolgt, Widerspruch einzulegen. Der VERANTWORTLICHE verarbeitet dann die personenbezogenen</w:t>
      </w:r>
      <w:r>
        <w:rPr>
          <w:rFonts w:ascii="Arial" w:eastAsia="Calibri" w:hAnsi="Arial" w:cs="Arial"/>
          <w:sz w:val="21"/>
          <w:szCs w:val="21"/>
          <w:lang w:val="de-AT" w:eastAsia="en-US"/>
        </w:rPr>
        <w:t xml:space="preserve"> Daten nicht mehr, es sei denn, sie kann zwingende schutzwürdige Gründe für die Verarbeitung nachweisen, die die Interessen, Rechte und Freiheiten der betroffenen Person überwiegen, oder die Verarbeitung dient der Geltendmachung, Ausübung oder Verteidigung</w:t>
      </w:r>
      <w:r>
        <w:rPr>
          <w:rFonts w:ascii="Arial" w:eastAsia="Calibri" w:hAnsi="Arial" w:cs="Arial"/>
          <w:sz w:val="21"/>
          <w:szCs w:val="21"/>
          <w:lang w:val="de-AT" w:eastAsia="en-US"/>
        </w:rPr>
        <w:t xml:space="preserve"> von Rechtsansprüchen.</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spacing w:after="0" w:line="300" w:lineRule="atLeast"/>
        <w:jc w:val="both"/>
        <w:rPr>
          <w:rFonts w:ascii="Arial" w:eastAsia="Calibri" w:hAnsi="Arial" w:cs="Arial"/>
          <w:sz w:val="21"/>
          <w:szCs w:val="21"/>
          <w:lang w:val="de-AT" w:eastAsia="en-US"/>
        </w:rPr>
      </w:pPr>
      <w:r>
        <w:rPr>
          <w:rFonts w:ascii="Arial" w:eastAsia="Calibri" w:hAnsi="Arial" w:cs="Arial"/>
          <w:sz w:val="21"/>
          <w:szCs w:val="21"/>
          <w:lang w:val="de-AT" w:eastAsia="en-US"/>
        </w:rPr>
        <w:t>Werden personenbezogene Daten verarbeitet, um Direktwerbung zu betreiben, so hat die betroffene Person das Recht, jederzeit Widerspruch gegen die Verarbeitung sie betreffender personenbezogener Daten zum Zwecke derartiger Werbung ei</w:t>
      </w:r>
      <w:r>
        <w:rPr>
          <w:rFonts w:ascii="Arial" w:eastAsia="Calibri" w:hAnsi="Arial" w:cs="Arial"/>
          <w:sz w:val="21"/>
          <w:szCs w:val="21"/>
          <w:lang w:val="de-AT" w:eastAsia="en-US"/>
        </w:rPr>
        <w:t>nzulegen. Widerspricht die betroffene Person der Verarbeitung für Zwecke der Direktwerbung, so werden die personenbezogenen Daten nicht mehr für diese Zwecke verarbeitet.</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pStyle w:val="berschrift4"/>
        <w:rPr>
          <w:rFonts w:eastAsia="Calibri"/>
          <w:lang w:val="de-AT" w:eastAsia="en-US"/>
        </w:rPr>
      </w:pPr>
      <w:r>
        <w:rPr>
          <w:rFonts w:eastAsia="Calibri"/>
          <w:lang w:val="de-AT" w:eastAsia="en-US"/>
        </w:rPr>
        <w:t>Beschwerderecht bei der Aufsichtsbehörde</w:t>
      </w:r>
    </w:p>
    <w:p w:rsidR="00017B6D" w:rsidRDefault="00017B6D">
      <w:pPr>
        <w:spacing w:after="0" w:line="300" w:lineRule="atLeast"/>
        <w:jc w:val="both"/>
        <w:rPr>
          <w:rFonts w:ascii="Arial" w:eastAsia="Calibri" w:hAnsi="Arial" w:cs="Arial"/>
          <w:sz w:val="21"/>
          <w:szCs w:val="21"/>
          <w:lang w:val="de-AT" w:eastAsia="en-US"/>
        </w:rPr>
      </w:pPr>
    </w:p>
    <w:p w:rsidR="00017B6D" w:rsidRDefault="000E3AC2">
      <w:pPr>
        <w:spacing w:after="0" w:line="300" w:lineRule="atLeast"/>
        <w:jc w:val="both"/>
      </w:pPr>
      <w:r>
        <w:rPr>
          <w:rFonts w:ascii="Arial" w:eastAsia="Calibri" w:hAnsi="Arial" w:cs="Arial"/>
          <w:sz w:val="21"/>
          <w:szCs w:val="21"/>
          <w:lang w:val="de-AT" w:eastAsia="en-US"/>
        </w:rPr>
        <w:t>Jede betroffene Person hat unbeschadet ein</w:t>
      </w:r>
      <w:r>
        <w:rPr>
          <w:rFonts w:ascii="Arial" w:eastAsia="Calibri" w:hAnsi="Arial" w:cs="Arial"/>
          <w:sz w:val="21"/>
          <w:szCs w:val="21"/>
          <w:lang w:val="de-AT" w:eastAsia="en-US"/>
        </w:rPr>
        <w:t>es anderweitigen verwaltungsrechtlichen oder gerichtlichen Rechtsbehelfs das Recht auf Beschwerde bei einer Aufsichtsbehörde, insbesondere in dem Mitgliedstaat ihres Aufenthaltsorts, ihres Arbeitsplatzes oder des Orts des mutmaßlichen Verstoßes, wenn die b</w:t>
      </w:r>
      <w:r>
        <w:rPr>
          <w:rFonts w:ascii="Arial" w:eastAsia="Calibri" w:hAnsi="Arial" w:cs="Arial"/>
          <w:sz w:val="21"/>
          <w:szCs w:val="21"/>
          <w:lang w:val="de-AT" w:eastAsia="en-US"/>
        </w:rPr>
        <w:t xml:space="preserve">etroffene Person der Ansicht ist, dass die Verarbeitung der sie betreffenden personenbezogenen Daten gegen diese gesetzlichen Vorgaben verstößt – siehe </w:t>
      </w:r>
      <w:hyperlink r:id="rId8" w:history="1">
        <w:r>
          <w:rPr>
            <w:rFonts w:ascii="Arial" w:eastAsia="Calibri" w:hAnsi="Arial" w:cs="Arial"/>
            <w:color w:val="0563C1"/>
            <w:sz w:val="21"/>
            <w:szCs w:val="21"/>
            <w:u w:val="single"/>
            <w:lang w:val="de-AT" w:eastAsia="en-US"/>
          </w:rPr>
          <w:t>https://www.dsb.gv.at/rechte-der-betroffen</w:t>
        </w:r>
        <w:r>
          <w:rPr>
            <w:rFonts w:ascii="Arial" w:eastAsia="Calibri" w:hAnsi="Arial" w:cs="Arial"/>
            <w:color w:val="0563C1"/>
            <w:sz w:val="21"/>
            <w:szCs w:val="21"/>
            <w:u w:val="single"/>
            <w:lang w:val="de-AT" w:eastAsia="en-US"/>
          </w:rPr>
          <w:t>en</w:t>
        </w:r>
      </w:hyperlink>
      <w:r>
        <w:rPr>
          <w:rFonts w:ascii="Arial" w:eastAsia="Calibri" w:hAnsi="Arial" w:cs="Arial"/>
          <w:sz w:val="21"/>
          <w:szCs w:val="21"/>
          <w:lang w:val="de-AT" w:eastAsia="en-US"/>
        </w:rPr>
        <w:t>.</w:t>
      </w:r>
    </w:p>
    <w:p w:rsidR="00017B6D" w:rsidRDefault="00017B6D">
      <w:pPr>
        <w:spacing w:after="0" w:line="300" w:lineRule="atLeast"/>
        <w:jc w:val="both"/>
        <w:rPr>
          <w:rFonts w:ascii="Arial" w:eastAsia="Calibri" w:hAnsi="Arial" w:cs="Arial"/>
          <w:sz w:val="21"/>
          <w:szCs w:val="21"/>
          <w:lang w:val="de-AT" w:eastAsia="en-US"/>
        </w:rPr>
      </w:pPr>
    </w:p>
    <w:p w:rsidR="00017B6D" w:rsidRDefault="00017B6D"/>
    <w:sectPr w:rsidR="00017B6D">
      <w:headerReference w:type="even" r:id="rId9"/>
      <w:headerReference w:type="default" r:id="rId10"/>
      <w:footerReference w:type="default" r:id="rId11"/>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C2" w:rsidRDefault="000E3AC2">
      <w:pPr>
        <w:spacing w:after="0" w:line="240" w:lineRule="auto"/>
      </w:pPr>
      <w:r>
        <w:separator/>
      </w:r>
    </w:p>
  </w:endnote>
  <w:endnote w:type="continuationSeparator" w:id="0">
    <w:p w:rsidR="000E3AC2" w:rsidRDefault="000E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variable"/>
  </w:font>
  <w:font w:name="OpenSymbol">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9C" w:rsidRDefault="000E3AC2">
    <w:pPr>
      <w:pStyle w:val="Fuzeile"/>
    </w:pPr>
  </w:p>
  <w:p w:rsidR="0016489C" w:rsidRDefault="000E3AC2">
    <w:pPr>
      <w:pStyle w:val="Fuzeile"/>
    </w:pPr>
  </w:p>
  <w:p w:rsidR="0016489C" w:rsidRDefault="000E3AC2">
    <w:pPr>
      <w:pStyle w:val="Fuzeile"/>
    </w:pPr>
  </w:p>
  <w:p w:rsidR="0016489C" w:rsidRDefault="000E3AC2">
    <w:pPr>
      <w:pStyle w:val="Fuzeile"/>
    </w:pPr>
  </w:p>
  <w:p w:rsidR="0016489C" w:rsidRDefault="000E3AC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C2" w:rsidRDefault="000E3AC2">
      <w:pPr>
        <w:spacing w:after="0" w:line="240" w:lineRule="auto"/>
      </w:pPr>
      <w:r>
        <w:rPr>
          <w:color w:val="000000"/>
        </w:rPr>
        <w:separator/>
      </w:r>
    </w:p>
  </w:footnote>
  <w:footnote w:type="continuationSeparator" w:id="0">
    <w:p w:rsidR="000E3AC2" w:rsidRDefault="000E3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9C" w:rsidRDefault="000E3AC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9C" w:rsidRDefault="000E3AC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3785"/>
    <w:multiLevelType w:val="multilevel"/>
    <w:tmpl w:val="643CE722"/>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3EE50654"/>
    <w:multiLevelType w:val="multilevel"/>
    <w:tmpl w:val="CE0C5202"/>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2">
    <w:nsid w:val="64322283"/>
    <w:multiLevelType w:val="multilevel"/>
    <w:tmpl w:val="4C5849B8"/>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6AD41F0A"/>
    <w:multiLevelType w:val="multilevel"/>
    <w:tmpl w:val="FF76195A"/>
    <w:styleLink w:val="WWNum2"/>
    <w:lvl w:ilvl="0">
      <w:numFmt w:val="bullet"/>
      <w:lvlText w:val=""/>
      <w:lvlJc w:val="left"/>
      <w:rPr>
        <w:rFonts w:ascii="Wingdings" w:hAnsi="Wingdings"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70124562"/>
    <w:multiLevelType w:val="multilevel"/>
    <w:tmpl w:val="2956198E"/>
    <w:styleLink w:val="WWNum1"/>
    <w:lvl w:ilvl="0">
      <w:start w:val="1"/>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79A7453D"/>
    <w:multiLevelType w:val="multilevel"/>
    <w:tmpl w:val="E9724DEA"/>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4"/>
  </w:num>
  <w:num w:numId="2">
    <w:abstractNumId w:val="3"/>
  </w:num>
  <w:num w:numId="3">
    <w:abstractNumId w:val="5"/>
  </w:num>
  <w:num w:numId="4">
    <w:abstractNumId w:val="0"/>
  </w:num>
  <w:num w:numId="5">
    <w:abstractNumId w:val="2"/>
  </w:num>
  <w:num w:numId="6">
    <w:abstractNumId w:val="5"/>
    <w:lvlOverride w:ilvl="0"/>
  </w:num>
  <w:num w:numId="7">
    <w:abstractNumId w:val="1"/>
  </w:num>
  <w:num w:numId="8">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17B6D"/>
    <w:rsid w:val="00017B6D"/>
    <w:rsid w:val="000E3AC2"/>
    <w:rsid w:val="00970A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de-AT"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pacing w:after="200" w:line="276" w:lineRule="auto"/>
    </w:pPr>
    <w:rPr>
      <w:rFonts w:cs="Times New Roman"/>
      <w:lang w:val="de-DE" w:eastAsia="de-DE"/>
    </w:rPr>
  </w:style>
  <w:style w:type="paragraph" w:styleId="berschrift1">
    <w:name w:val="heading 1"/>
    <w:basedOn w:val="Standard"/>
    <w:next w:val="Textbody"/>
    <w:pPr>
      <w:keepNext/>
      <w:keepLines/>
      <w:spacing w:before="240" w:after="0" w:line="256" w:lineRule="auto"/>
      <w:outlineLvl w:val="0"/>
    </w:pPr>
    <w:rPr>
      <w:rFonts w:ascii="Calibri Light" w:hAnsi="Calibri Light"/>
      <w:color w:val="2E74B5"/>
      <w:sz w:val="32"/>
      <w:szCs w:val="32"/>
      <w:lang w:val="de-AT" w:eastAsia="en-US"/>
    </w:rPr>
  </w:style>
  <w:style w:type="paragraph" w:styleId="berschrift2">
    <w:name w:val="heading 2"/>
    <w:basedOn w:val="Standard"/>
    <w:next w:val="Textbody"/>
    <w:pPr>
      <w:keepNext/>
      <w:keepLines/>
      <w:spacing w:before="40" w:after="0" w:line="256" w:lineRule="auto"/>
      <w:outlineLvl w:val="1"/>
    </w:pPr>
    <w:rPr>
      <w:rFonts w:ascii="Calibri Light" w:hAnsi="Calibri Light"/>
      <w:color w:val="2E74B5"/>
      <w:sz w:val="26"/>
      <w:szCs w:val="26"/>
      <w:lang w:val="de-AT" w:eastAsia="en-US"/>
    </w:rPr>
  </w:style>
  <w:style w:type="paragraph" w:styleId="berschrift3">
    <w:name w:val="heading 3"/>
    <w:basedOn w:val="Standard"/>
    <w:next w:val="Textbody"/>
    <w:pPr>
      <w:keepNext/>
      <w:keepLines/>
      <w:spacing w:before="40" w:after="0"/>
      <w:outlineLvl w:val="2"/>
    </w:pPr>
    <w:rPr>
      <w:rFonts w:ascii="Calibri Light" w:hAnsi="Calibri Light"/>
      <w:color w:val="1F4D78"/>
      <w:sz w:val="24"/>
      <w:szCs w:val="24"/>
    </w:rPr>
  </w:style>
  <w:style w:type="paragraph" w:styleId="berschrift4">
    <w:name w:val="heading 4"/>
    <w:basedOn w:val="Standard"/>
    <w:next w:val="Textbody"/>
    <w:pPr>
      <w:keepNext/>
      <w:keepLines/>
      <w:spacing w:before="40" w:after="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Kommentartext">
    <w:name w:val="annotation text"/>
    <w:basedOn w:val="Standard"/>
    <w:pPr>
      <w:spacing w:line="240" w:lineRule="auto"/>
    </w:pPr>
    <w:rPr>
      <w:sz w:val="20"/>
      <w:szCs w:val="20"/>
    </w:rPr>
  </w:style>
  <w:style w:type="paragraph" w:styleId="Listenabsatz">
    <w:name w:val="List Paragraph"/>
    <w:basedOn w:val="Standard"/>
    <w:pPr>
      <w:ind w:left="720"/>
    </w:pPr>
  </w:style>
  <w:style w:type="paragraph" w:styleId="Sprechblasentext">
    <w:name w:val="Balloon Text"/>
    <w:basedOn w:val="Standard"/>
    <w:pPr>
      <w:spacing w:after="0" w:line="240" w:lineRule="auto"/>
    </w:pPr>
    <w:rPr>
      <w:rFonts w:ascii="Segoe UI" w:hAnsi="Segoe UI" w:cs="Segoe UI"/>
      <w:sz w:val="18"/>
      <w:szCs w:val="18"/>
    </w:rPr>
  </w:style>
  <w:style w:type="paragraph" w:styleId="Kommentarthema">
    <w:name w:val="annotation subject"/>
    <w:basedOn w:val="Kommentartext"/>
    <w:rPr>
      <w:b/>
      <w:bCs/>
    </w:rPr>
  </w:style>
  <w:style w:type="paragraph" w:styleId="Kopfzeile">
    <w:name w:val="header"/>
    <w:basedOn w:val="Standard"/>
    <w:pPr>
      <w:suppressLineNumbers/>
      <w:tabs>
        <w:tab w:val="center" w:pos="4536"/>
        <w:tab w:val="right" w:pos="9072"/>
      </w:tabs>
      <w:spacing w:after="0" w:line="240" w:lineRule="auto"/>
    </w:pPr>
  </w:style>
  <w:style w:type="paragraph" w:styleId="Fuzeile">
    <w:name w:val="footer"/>
    <w:basedOn w:val="Standard"/>
    <w:pPr>
      <w:suppressLineNumbers/>
      <w:tabs>
        <w:tab w:val="center" w:pos="4536"/>
        <w:tab w:val="right" w:pos="9072"/>
      </w:tabs>
      <w:spacing w:after="0" w:line="240" w:lineRule="auto"/>
    </w:pPr>
  </w:style>
  <w:style w:type="character" w:customStyle="1" w:styleId="Internetlink">
    <w:name w:val="Internet link"/>
    <w:basedOn w:val="Absatz-Standardschriftart"/>
    <w:rPr>
      <w:color w:val="0563C1"/>
      <w:u w:val="single"/>
    </w:rPr>
  </w:style>
  <w:style w:type="character" w:customStyle="1" w:styleId="KommentartextZchn">
    <w:name w:val="Kommentartext Zchn"/>
    <w:basedOn w:val="Absatz-Standardschriftart"/>
    <w:rPr>
      <w:rFonts w:cs="Times New Roman"/>
      <w:sz w:val="20"/>
      <w:szCs w:val="20"/>
      <w:lang w:val="de-DE" w:eastAsia="de-DE"/>
    </w:rPr>
  </w:style>
  <w:style w:type="character" w:styleId="Kommentarzeichen">
    <w:name w:val="annotation reference"/>
    <w:basedOn w:val="Absatz-Standardschriftart"/>
    <w:rPr>
      <w:sz w:val="16"/>
      <w:szCs w:val="16"/>
    </w:rPr>
  </w:style>
  <w:style w:type="character" w:customStyle="1" w:styleId="SprechblasentextZchn">
    <w:name w:val="Sprechblasentext Zchn"/>
    <w:basedOn w:val="Absatz-Standardschriftart"/>
    <w:rPr>
      <w:rFonts w:ascii="Segoe UI" w:hAnsi="Segoe UI" w:cs="Segoe UI"/>
      <w:sz w:val="18"/>
      <w:szCs w:val="18"/>
      <w:lang w:val="de-DE" w:eastAsia="de-DE"/>
    </w:rPr>
  </w:style>
  <w:style w:type="character" w:customStyle="1" w:styleId="KommentarthemaZchn">
    <w:name w:val="Kommentarthema Zchn"/>
    <w:basedOn w:val="KommentartextZchn"/>
    <w:rPr>
      <w:rFonts w:cs="Times New Roman"/>
      <w:b/>
      <w:bCs/>
      <w:sz w:val="20"/>
      <w:szCs w:val="20"/>
      <w:lang w:val="de-DE" w:eastAsia="de-DE"/>
    </w:rPr>
  </w:style>
  <w:style w:type="character" w:customStyle="1" w:styleId="KopfzeileZchn">
    <w:name w:val="Kopfzeile Zchn"/>
    <w:basedOn w:val="Absatz-Standardschriftart"/>
    <w:rPr>
      <w:rFonts w:cs="Times New Roman"/>
      <w:lang w:val="de-DE" w:eastAsia="de-DE"/>
    </w:rPr>
  </w:style>
  <w:style w:type="character" w:customStyle="1" w:styleId="FuzeileZchn">
    <w:name w:val="Fußzeile Zchn"/>
    <w:basedOn w:val="Absatz-Standardschriftart"/>
    <w:rPr>
      <w:rFonts w:cs="Times New Roman"/>
      <w:lang w:val="de-DE" w:eastAsia="de-DE"/>
    </w:rPr>
  </w:style>
  <w:style w:type="character" w:customStyle="1" w:styleId="berschrift1Zchn">
    <w:name w:val="Überschrift 1 Zchn"/>
    <w:basedOn w:val="Absatz-Standardschriftart"/>
    <w:rPr>
      <w:rFonts w:ascii="Calibri Light" w:hAnsi="Calibri Light"/>
      <w:color w:val="2E74B5"/>
      <w:sz w:val="32"/>
      <w:szCs w:val="32"/>
    </w:rPr>
  </w:style>
  <w:style w:type="character" w:customStyle="1" w:styleId="berschrift2Zchn">
    <w:name w:val="Überschrift 2 Zchn"/>
    <w:basedOn w:val="Absatz-Standardschriftart"/>
    <w:rPr>
      <w:rFonts w:ascii="Calibri Light" w:hAnsi="Calibri Light"/>
      <w:color w:val="2E74B5"/>
      <w:sz w:val="26"/>
      <w:szCs w:val="26"/>
    </w:rPr>
  </w:style>
  <w:style w:type="character" w:customStyle="1" w:styleId="berschrift3Zchn">
    <w:name w:val="Überschrift 3 Zchn"/>
    <w:basedOn w:val="Absatz-Standardschriftart"/>
    <w:rPr>
      <w:rFonts w:ascii="Calibri Light" w:hAnsi="Calibri Light"/>
      <w:color w:val="1F4D78"/>
      <w:sz w:val="24"/>
      <w:szCs w:val="24"/>
      <w:lang w:val="de-DE" w:eastAsia="de-DE"/>
    </w:rPr>
  </w:style>
  <w:style w:type="character" w:customStyle="1" w:styleId="berschrift4Zchn">
    <w:name w:val="Überschrift 4 Zchn"/>
    <w:basedOn w:val="Absatz-Standardschriftart"/>
    <w:rPr>
      <w:rFonts w:ascii="Calibri Light" w:hAnsi="Calibri Light"/>
      <w:i/>
      <w:iCs/>
      <w:color w:val="2E74B5"/>
      <w:lang w:val="de-DE" w:eastAsia="de-DE"/>
    </w:rPr>
  </w:style>
  <w:style w:type="character" w:customStyle="1" w:styleId="ListLabel1">
    <w:name w:val="ListLabel 1"/>
    <w:rPr>
      <w:b/>
    </w:rPr>
  </w:style>
  <w:style w:type="character" w:customStyle="1" w:styleId="ListLabel2">
    <w:name w:val="ListLabel 2"/>
    <w:rPr>
      <w:rFonts w:cs="Times New Roman"/>
    </w:rPr>
  </w:style>
  <w:style w:type="character" w:customStyle="1" w:styleId="ListLabel3">
    <w:name w:val="ListLabel 3"/>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de-AT"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pacing w:after="200" w:line="276" w:lineRule="auto"/>
    </w:pPr>
    <w:rPr>
      <w:rFonts w:cs="Times New Roman"/>
      <w:lang w:val="de-DE" w:eastAsia="de-DE"/>
    </w:rPr>
  </w:style>
  <w:style w:type="paragraph" w:styleId="berschrift1">
    <w:name w:val="heading 1"/>
    <w:basedOn w:val="Standard"/>
    <w:next w:val="Textbody"/>
    <w:pPr>
      <w:keepNext/>
      <w:keepLines/>
      <w:spacing w:before="240" w:after="0" w:line="256" w:lineRule="auto"/>
      <w:outlineLvl w:val="0"/>
    </w:pPr>
    <w:rPr>
      <w:rFonts w:ascii="Calibri Light" w:hAnsi="Calibri Light"/>
      <w:color w:val="2E74B5"/>
      <w:sz w:val="32"/>
      <w:szCs w:val="32"/>
      <w:lang w:val="de-AT" w:eastAsia="en-US"/>
    </w:rPr>
  </w:style>
  <w:style w:type="paragraph" w:styleId="berschrift2">
    <w:name w:val="heading 2"/>
    <w:basedOn w:val="Standard"/>
    <w:next w:val="Textbody"/>
    <w:pPr>
      <w:keepNext/>
      <w:keepLines/>
      <w:spacing w:before="40" w:after="0" w:line="256" w:lineRule="auto"/>
      <w:outlineLvl w:val="1"/>
    </w:pPr>
    <w:rPr>
      <w:rFonts w:ascii="Calibri Light" w:hAnsi="Calibri Light"/>
      <w:color w:val="2E74B5"/>
      <w:sz w:val="26"/>
      <w:szCs w:val="26"/>
      <w:lang w:val="de-AT" w:eastAsia="en-US"/>
    </w:rPr>
  </w:style>
  <w:style w:type="paragraph" w:styleId="berschrift3">
    <w:name w:val="heading 3"/>
    <w:basedOn w:val="Standard"/>
    <w:next w:val="Textbody"/>
    <w:pPr>
      <w:keepNext/>
      <w:keepLines/>
      <w:spacing w:before="40" w:after="0"/>
      <w:outlineLvl w:val="2"/>
    </w:pPr>
    <w:rPr>
      <w:rFonts w:ascii="Calibri Light" w:hAnsi="Calibri Light"/>
      <w:color w:val="1F4D78"/>
      <w:sz w:val="24"/>
      <w:szCs w:val="24"/>
    </w:rPr>
  </w:style>
  <w:style w:type="paragraph" w:styleId="berschrift4">
    <w:name w:val="heading 4"/>
    <w:basedOn w:val="Standard"/>
    <w:next w:val="Textbody"/>
    <w:pPr>
      <w:keepNext/>
      <w:keepLines/>
      <w:spacing w:before="40" w:after="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Kommentartext">
    <w:name w:val="annotation text"/>
    <w:basedOn w:val="Standard"/>
    <w:pPr>
      <w:spacing w:line="240" w:lineRule="auto"/>
    </w:pPr>
    <w:rPr>
      <w:sz w:val="20"/>
      <w:szCs w:val="20"/>
    </w:rPr>
  </w:style>
  <w:style w:type="paragraph" w:styleId="Listenabsatz">
    <w:name w:val="List Paragraph"/>
    <w:basedOn w:val="Standard"/>
    <w:pPr>
      <w:ind w:left="720"/>
    </w:pPr>
  </w:style>
  <w:style w:type="paragraph" w:styleId="Sprechblasentext">
    <w:name w:val="Balloon Text"/>
    <w:basedOn w:val="Standard"/>
    <w:pPr>
      <w:spacing w:after="0" w:line="240" w:lineRule="auto"/>
    </w:pPr>
    <w:rPr>
      <w:rFonts w:ascii="Segoe UI" w:hAnsi="Segoe UI" w:cs="Segoe UI"/>
      <w:sz w:val="18"/>
      <w:szCs w:val="18"/>
    </w:rPr>
  </w:style>
  <w:style w:type="paragraph" w:styleId="Kommentarthema">
    <w:name w:val="annotation subject"/>
    <w:basedOn w:val="Kommentartext"/>
    <w:rPr>
      <w:b/>
      <w:bCs/>
    </w:rPr>
  </w:style>
  <w:style w:type="paragraph" w:styleId="Kopfzeile">
    <w:name w:val="header"/>
    <w:basedOn w:val="Standard"/>
    <w:pPr>
      <w:suppressLineNumbers/>
      <w:tabs>
        <w:tab w:val="center" w:pos="4536"/>
        <w:tab w:val="right" w:pos="9072"/>
      </w:tabs>
      <w:spacing w:after="0" w:line="240" w:lineRule="auto"/>
    </w:pPr>
  </w:style>
  <w:style w:type="paragraph" w:styleId="Fuzeile">
    <w:name w:val="footer"/>
    <w:basedOn w:val="Standard"/>
    <w:pPr>
      <w:suppressLineNumbers/>
      <w:tabs>
        <w:tab w:val="center" w:pos="4536"/>
        <w:tab w:val="right" w:pos="9072"/>
      </w:tabs>
      <w:spacing w:after="0" w:line="240" w:lineRule="auto"/>
    </w:pPr>
  </w:style>
  <w:style w:type="character" w:customStyle="1" w:styleId="Internetlink">
    <w:name w:val="Internet link"/>
    <w:basedOn w:val="Absatz-Standardschriftart"/>
    <w:rPr>
      <w:color w:val="0563C1"/>
      <w:u w:val="single"/>
    </w:rPr>
  </w:style>
  <w:style w:type="character" w:customStyle="1" w:styleId="KommentartextZchn">
    <w:name w:val="Kommentartext Zchn"/>
    <w:basedOn w:val="Absatz-Standardschriftart"/>
    <w:rPr>
      <w:rFonts w:cs="Times New Roman"/>
      <w:sz w:val="20"/>
      <w:szCs w:val="20"/>
      <w:lang w:val="de-DE" w:eastAsia="de-DE"/>
    </w:rPr>
  </w:style>
  <w:style w:type="character" w:styleId="Kommentarzeichen">
    <w:name w:val="annotation reference"/>
    <w:basedOn w:val="Absatz-Standardschriftart"/>
    <w:rPr>
      <w:sz w:val="16"/>
      <w:szCs w:val="16"/>
    </w:rPr>
  </w:style>
  <w:style w:type="character" w:customStyle="1" w:styleId="SprechblasentextZchn">
    <w:name w:val="Sprechblasentext Zchn"/>
    <w:basedOn w:val="Absatz-Standardschriftart"/>
    <w:rPr>
      <w:rFonts w:ascii="Segoe UI" w:hAnsi="Segoe UI" w:cs="Segoe UI"/>
      <w:sz w:val="18"/>
      <w:szCs w:val="18"/>
      <w:lang w:val="de-DE" w:eastAsia="de-DE"/>
    </w:rPr>
  </w:style>
  <w:style w:type="character" w:customStyle="1" w:styleId="KommentarthemaZchn">
    <w:name w:val="Kommentarthema Zchn"/>
    <w:basedOn w:val="KommentartextZchn"/>
    <w:rPr>
      <w:rFonts w:cs="Times New Roman"/>
      <w:b/>
      <w:bCs/>
      <w:sz w:val="20"/>
      <w:szCs w:val="20"/>
      <w:lang w:val="de-DE" w:eastAsia="de-DE"/>
    </w:rPr>
  </w:style>
  <w:style w:type="character" w:customStyle="1" w:styleId="KopfzeileZchn">
    <w:name w:val="Kopfzeile Zchn"/>
    <w:basedOn w:val="Absatz-Standardschriftart"/>
    <w:rPr>
      <w:rFonts w:cs="Times New Roman"/>
      <w:lang w:val="de-DE" w:eastAsia="de-DE"/>
    </w:rPr>
  </w:style>
  <w:style w:type="character" w:customStyle="1" w:styleId="FuzeileZchn">
    <w:name w:val="Fußzeile Zchn"/>
    <w:basedOn w:val="Absatz-Standardschriftart"/>
    <w:rPr>
      <w:rFonts w:cs="Times New Roman"/>
      <w:lang w:val="de-DE" w:eastAsia="de-DE"/>
    </w:rPr>
  </w:style>
  <w:style w:type="character" w:customStyle="1" w:styleId="berschrift1Zchn">
    <w:name w:val="Überschrift 1 Zchn"/>
    <w:basedOn w:val="Absatz-Standardschriftart"/>
    <w:rPr>
      <w:rFonts w:ascii="Calibri Light" w:hAnsi="Calibri Light"/>
      <w:color w:val="2E74B5"/>
      <w:sz w:val="32"/>
      <w:szCs w:val="32"/>
    </w:rPr>
  </w:style>
  <w:style w:type="character" w:customStyle="1" w:styleId="berschrift2Zchn">
    <w:name w:val="Überschrift 2 Zchn"/>
    <w:basedOn w:val="Absatz-Standardschriftart"/>
    <w:rPr>
      <w:rFonts w:ascii="Calibri Light" w:hAnsi="Calibri Light"/>
      <w:color w:val="2E74B5"/>
      <w:sz w:val="26"/>
      <w:szCs w:val="26"/>
    </w:rPr>
  </w:style>
  <w:style w:type="character" w:customStyle="1" w:styleId="berschrift3Zchn">
    <w:name w:val="Überschrift 3 Zchn"/>
    <w:basedOn w:val="Absatz-Standardschriftart"/>
    <w:rPr>
      <w:rFonts w:ascii="Calibri Light" w:hAnsi="Calibri Light"/>
      <w:color w:val="1F4D78"/>
      <w:sz w:val="24"/>
      <w:szCs w:val="24"/>
      <w:lang w:val="de-DE" w:eastAsia="de-DE"/>
    </w:rPr>
  </w:style>
  <w:style w:type="character" w:customStyle="1" w:styleId="berschrift4Zchn">
    <w:name w:val="Überschrift 4 Zchn"/>
    <w:basedOn w:val="Absatz-Standardschriftart"/>
    <w:rPr>
      <w:rFonts w:ascii="Calibri Light" w:hAnsi="Calibri Light"/>
      <w:i/>
      <w:iCs/>
      <w:color w:val="2E74B5"/>
      <w:lang w:val="de-DE" w:eastAsia="de-DE"/>
    </w:rPr>
  </w:style>
  <w:style w:type="character" w:customStyle="1" w:styleId="ListLabel1">
    <w:name w:val="ListLabel 1"/>
    <w:rPr>
      <w:b/>
    </w:rPr>
  </w:style>
  <w:style w:type="character" w:customStyle="1" w:styleId="ListLabel2">
    <w:name w:val="ListLabel 2"/>
    <w:rPr>
      <w:rFonts w:cs="Times New Roman"/>
    </w:rPr>
  </w:style>
  <w:style w:type="character" w:customStyle="1" w:styleId="ListLabel3">
    <w:name w:val="ListLabel 3"/>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dsb.gv.at/rechte-der-betroffen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1529</Words>
  <Characters>9635</Characters>
  <Application>Microsoft Office Word</Application>
  <DocSecurity>0</DocSecurity>
  <Lines>80</Lines>
  <Paragraphs>22</Paragraphs>
  <ScaleCrop>false</ScaleCrop>
  <Company/>
  <LinksUpToDate>false</LinksUpToDate>
  <CharactersWithSpaces>11142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Hofbauer</dc:creator>
  <cp:lastModifiedBy>Gabi Loibichler</cp:lastModifiedBy>
  <cp:revision>1</cp:revision>
  <cp:lastPrinted>2018-05-17T11:27:00Z</cp:lastPrinted>
  <dcterms:created xsi:type="dcterms:W3CDTF">2018-05-15T16:17:00Z</dcterms:created>
  <dcterms:modified xsi:type="dcterms:W3CDTF">2018-05-22T13:47:00Z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